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color w:val="4472C4"/>
          <w:sz w:val="36"/>
        </w:rPr>
        <w:t>Sales Methodology Quick Reference Guide</w:t>
      </w:r>
    </w:p>
    <w:p>
      <w:pPr>
        <w:jc w:val="center"/>
      </w:pPr>
      <w:r>
        <w:rPr>
          <w:i/>
          <w:sz w:val="18"/>
        </w:rPr>
        <w:t>Use this guide to integrate SPIN, MEDDICC, and Challenger into a unified sales approach.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504"/>
        <w:gridCol w:w="3504"/>
        <w:gridCol w:w="3504"/>
      </w:tblGrid>
      <w:tr>
        <w:tc>
          <w:tcPr>
            <w:tcW w:type="dxa" w:w="3456"/>
          </w:tcPr>
          <w:p>
            <w:pPr>
              <w:jc w:val="center"/>
            </w:pPr>
            <w:r>
              <w:rPr>
                <w:b/>
                <w:color w:val="4472C4"/>
                <w:sz w:val="24"/>
              </w:rPr>
              <w:t>SPIN SELLING</w:t>
            </w:r>
          </w:p>
          <w:p>
            <w:pPr/>
            <w:r>
              <w:rPr>
                <w:sz w:val="16"/>
              </w:rPr>
              <w:t>Framework for structured discovery questioning</w:t>
            </w:r>
          </w:p>
          <w:p>
            <w:r>
              <w:rPr>
                <w:b/>
                <w:sz w:val="16"/>
              </w:rPr>
              <w:t xml:space="preserve">Purpose: </w:t>
            </w:r>
            <w:r>
              <w:rPr>
                <w:sz w:val="16"/>
              </w:rPr>
              <w:t>Uncover buyer needs systematically</w:t>
            </w:r>
          </w:p>
          <w:p>
            <w:r>
              <w:rPr>
                <w:b/>
                <w:sz w:val="16"/>
              </w:rPr>
              <w:t xml:space="preserve">When: </w:t>
            </w:r>
            <w:r>
              <w:rPr>
                <w:sz w:val="16"/>
              </w:rPr>
              <w:t>Discovery and early conversations</w:t>
            </w:r>
          </w:p>
          <w:p/>
          <w:p>
            <w:pPr>
              <w:pStyle w:val="ListBullet"/>
            </w:pPr>
            <w:r>
              <w:rPr>
                <w:b/>
                <w:sz w:val="18"/>
              </w:rPr>
              <w:t>Situation Questions</w:t>
            </w:r>
          </w:p>
          <w:p>
            <w:pPr>
              <w:pStyle w:val="BodyText"/>
            </w:pPr>
            <w:r>
              <w:rPr>
                <w:sz w:val="16"/>
              </w:rPr>
              <w:t>Gather context: "How is your process structured today?"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Problem Questions</w:t>
            </w:r>
          </w:p>
          <w:p>
            <w:pPr>
              <w:pStyle w:val="BodyText"/>
            </w:pPr>
            <w:r>
              <w:rPr>
                <w:sz w:val="16"/>
              </w:rPr>
              <w:t>Uncover challenges: "What difficulties does that create?"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Implication Questions</w:t>
            </w:r>
          </w:p>
          <w:p>
            <w:pPr>
              <w:pStyle w:val="BodyText"/>
            </w:pPr>
            <w:r>
              <w:rPr>
                <w:sz w:val="16"/>
              </w:rPr>
              <w:t>Explore impact: "What does that cost in time or revenue?"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Need-Payoff Questions</w:t>
            </w:r>
          </w:p>
          <w:p>
            <w:pPr>
              <w:pStyle w:val="BodyText"/>
            </w:pPr>
            <w:r>
              <w:rPr>
                <w:sz w:val="16"/>
              </w:rPr>
              <w:t>Create vision: "If solved, what would that enable?"</w:t>
            </w:r>
          </w:p>
        </w:tc>
        <w:tc>
          <w:tcPr>
            <w:tcW w:type="dxa" w:w="3456"/>
          </w:tcPr>
          <w:p>
            <w:pPr>
              <w:jc w:val="center"/>
            </w:pPr>
            <w:r>
              <w:rPr>
                <w:b/>
                <w:color w:val="4472C4"/>
                <w:sz w:val="24"/>
              </w:rPr>
              <w:t>MEDDICC</w:t>
            </w:r>
          </w:p>
          <w:p>
            <w:pPr/>
            <w:r>
              <w:rPr>
                <w:sz w:val="16"/>
              </w:rPr>
              <w:t>Qualification framework for deal validation</w:t>
            </w:r>
          </w:p>
          <w:p>
            <w:r>
              <w:rPr>
                <w:b/>
                <w:sz w:val="16"/>
              </w:rPr>
              <w:t xml:space="preserve">Purpose: </w:t>
            </w:r>
            <w:r>
              <w:rPr>
                <w:sz w:val="16"/>
              </w:rPr>
              <w:t>Ensure deals are real, winnable, and worth pursuing</w:t>
            </w:r>
          </w:p>
          <w:p>
            <w:r>
              <w:rPr>
                <w:b/>
                <w:sz w:val="16"/>
              </w:rPr>
              <w:t xml:space="preserve">When: </w:t>
            </w:r>
            <w:r>
              <w:rPr>
                <w:sz w:val="16"/>
              </w:rPr>
              <w:t>Throughout the entire sales cycle</w:t>
            </w:r>
          </w:p>
          <w:p/>
          <w:p>
            <w:pPr>
              <w:pStyle w:val="ListBullet"/>
            </w:pPr>
            <w:r>
              <w:rPr>
                <w:b/>
                <w:sz w:val="18"/>
              </w:rPr>
              <w:t>Metrics</w:t>
            </w:r>
          </w:p>
          <w:p>
            <w:pPr>
              <w:pStyle w:val="BodyText"/>
            </w:pPr>
            <w:r>
              <w:rPr>
                <w:sz w:val="16"/>
              </w:rPr>
              <w:t>Quantifiable impact &amp; business case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Economic Buyer</w:t>
            </w:r>
          </w:p>
          <w:p>
            <w:pPr>
              <w:pStyle w:val="BodyText"/>
            </w:pPr>
            <w:r>
              <w:rPr>
                <w:sz w:val="16"/>
              </w:rPr>
              <w:t>Person with budget authority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Decision Criteria</w:t>
            </w:r>
          </w:p>
          <w:p>
            <w:pPr>
              <w:pStyle w:val="BodyText"/>
            </w:pPr>
            <w:r>
              <w:rPr>
                <w:sz w:val="16"/>
              </w:rPr>
              <w:t>Factors driving their evaluation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Decision Process</w:t>
            </w:r>
          </w:p>
          <w:p>
            <w:pPr>
              <w:pStyle w:val="BodyText"/>
            </w:pPr>
            <w:r>
              <w:rPr>
                <w:sz w:val="16"/>
              </w:rPr>
              <w:t>Steps to reach approval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Identify Pain</w:t>
            </w:r>
          </w:p>
          <w:p>
            <w:pPr>
              <w:pStyle w:val="BodyText"/>
            </w:pPr>
            <w:r>
              <w:rPr>
                <w:sz w:val="16"/>
              </w:rPr>
              <w:t>Validated, urgent problem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Champion</w:t>
            </w:r>
          </w:p>
          <w:p>
            <w:pPr>
              <w:pStyle w:val="BodyText"/>
            </w:pPr>
            <w:r>
              <w:rPr>
                <w:sz w:val="16"/>
              </w:rPr>
              <w:t>Internal advocate with influence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Competition</w:t>
            </w:r>
          </w:p>
          <w:p>
            <w:pPr>
              <w:pStyle w:val="BodyText"/>
            </w:pPr>
            <w:r>
              <w:rPr>
                <w:sz w:val="16"/>
              </w:rPr>
              <w:t>Alternatives being considered</w:t>
            </w:r>
          </w:p>
        </w:tc>
        <w:tc>
          <w:tcPr>
            <w:tcW w:type="dxa" w:w="3456"/>
          </w:tcPr>
          <w:p>
            <w:pPr>
              <w:jc w:val="center"/>
            </w:pPr>
            <w:r>
              <w:rPr>
                <w:b/>
                <w:color w:val="4472C4"/>
                <w:sz w:val="24"/>
              </w:rPr>
              <w:t>CHALLENGER SALE</w:t>
            </w:r>
          </w:p>
          <w:p>
            <w:pPr/>
            <w:r>
              <w:rPr>
                <w:sz w:val="16"/>
              </w:rPr>
              <w:t>Teaching approach that reframes buyer thinking</w:t>
            </w:r>
          </w:p>
          <w:p>
            <w:r>
              <w:rPr>
                <w:b/>
                <w:sz w:val="16"/>
              </w:rPr>
              <w:t xml:space="preserve">Purpose: </w:t>
            </w:r>
            <w:r>
              <w:rPr>
                <w:sz w:val="16"/>
              </w:rPr>
              <w:t>Deliver insight that challenges assumptions</w:t>
            </w:r>
          </w:p>
          <w:p>
            <w:r>
              <w:rPr>
                <w:b/>
                <w:sz w:val="16"/>
              </w:rPr>
              <w:t xml:space="preserve">When: </w:t>
            </w:r>
            <w:r>
              <w:rPr>
                <w:sz w:val="16"/>
              </w:rPr>
              <w:t>Engaging senior stakeholders, differentiation</w:t>
            </w:r>
          </w:p>
          <w:p/>
          <w:p>
            <w:pPr>
              <w:pStyle w:val="ListBullet"/>
            </w:pPr>
            <w:r>
              <w:rPr>
                <w:b/>
                <w:sz w:val="18"/>
              </w:rPr>
              <w:t>Teach for Differentiation</w:t>
            </w:r>
          </w:p>
          <w:p>
            <w:pPr>
              <w:pStyle w:val="BodyText"/>
            </w:pPr>
            <w:r>
              <w:rPr>
                <w:sz w:val="16"/>
              </w:rPr>
              <w:t>Share insights buyers don't know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Tailor for Resonance</w:t>
            </w:r>
          </w:p>
          <w:p>
            <w:pPr>
              <w:pStyle w:val="BodyText"/>
            </w:pPr>
            <w:r>
              <w:rPr>
                <w:sz w:val="16"/>
              </w:rPr>
              <w:t>Customize to stakeholder priorities</w:t>
            </w:r>
          </w:p>
          <w:p>
            <w:pPr>
              <w:pStyle w:val="ListBullet"/>
            </w:pPr>
            <w:r>
              <w:rPr>
                <w:b/>
                <w:sz w:val="18"/>
              </w:rPr>
              <w:t>Take Control</w:t>
            </w:r>
          </w:p>
          <w:p>
            <w:pPr>
              <w:pStyle w:val="BodyText"/>
            </w:pPr>
            <w:r>
              <w:rPr>
                <w:sz w:val="16"/>
              </w:rPr>
              <w:t>Lead the conversation confidently</w:t>
            </w:r>
          </w:p>
          <w:p/>
          <w:p>
            <w:pPr/>
            <w:r>
              <w:rPr>
                <w:sz w:val="16"/>
              </w:rPr>
              <w:t>Example Reframe:</w:t>
            </w:r>
          </w:p>
          <w:p>
            <w:pPr>
              <w:pStyle w:val="BodyText"/>
            </w:pPr>
            <w:r>
              <w:rPr>
                <w:i/>
                <w:sz w:val="16"/>
              </w:rPr>
              <w:t>"Most companies focus on efficiency, but our research shows forecast accuracy has 3x the revenue impact."</w:t>
            </w:r>
          </w:p>
        </w:tc>
      </w:tr>
    </w:tbl>
    <w:p/>
    <w:p>
      <w:pPr>
        <w:pStyle w:val="Heading2"/>
      </w:pPr>
      <w:r>
        <w:rPr>
          <w:color w:val="4472C4"/>
          <w:sz w:val="24"/>
        </w:rPr>
        <w:t>How They Work Together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5256"/>
        <w:gridCol w:w="5256"/>
      </w:tblGrid>
      <w:tr>
        <w:tc>
          <w:tcPr>
            <w:tcW w:type="dxa" w:w="5256"/>
          </w:tcPr>
          <w:p>
            <w:r>
              <w:rPr>
                <w:b/>
                <w:sz w:val="18"/>
              </w:rPr>
              <w:t>Sales Stage</w:t>
            </w:r>
          </w:p>
        </w:tc>
        <w:tc>
          <w:tcPr>
            <w:tcW w:type="dxa" w:w="5256"/>
          </w:tcPr>
          <w:p>
            <w:r>
              <w:rPr>
                <w:b/>
                <w:sz w:val="18"/>
              </w:rPr>
              <w:t>Methodology Application</w:t>
            </w:r>
          </w:p>
        </w:tc>
      </w:tr>
      <w:tr>
        <w:tc>
          <w:tcPr>
            <w:tcW w:type="dxa" w:w="5256"/>
          </w:tcPr>
          <w:p>
            <w:r>
              <w:rPr>
                <w:b/>
                <w:sz w:val="16"/>
              </w:rPr>
              <w:t>Discovery</w:t>
            </w:r>
          </w:p>
        </w:tc>
        <w:tc>
          <w:tcPr>
            <w:tcW w:type="dxa" w:w="5256"/>
          </w:tcPr>
          <w:p>
            <w:r>
              <w:rPr>
                <w:sz w:val="16"/>
              </w:rPr>
              <w:t>Use SPIN to structure questions → Begin gathering MEDDICC data</w:t>
            </w:r>
          </w:p>
        </w:tc>
      </w:tr>
      <w:tr>
        <w:tc>
          <w:tcPr>
            <w:tcW w:type="dxa" w:w="5256"/>
          </w:tcPr>
          <w:p>
            <w:r>
              <w:rPr>
                <w:b/>
                <w:sz w:val="16"/>
              </w:rPr>
              <w:t>Qualification</w:t>
            </w:r>
          </w:p>
        </w:tc>
        <w:tc>
          <w:tcPr>
            <w:tcW w:type="dxa" w:w="5256"/>
          </w:tcPr>
          <w:p>
            <w:r>
              <w:rPr>
                <w:sz w:val="16"/>
              </w:rPr>
              <w:t>Complete MEDDICC validation → Assess deal health objectively</w:t>
            </w:r>
          </w:p>
        </w:tc>
      </w:tr>
      <w:tr>
        <w:tc>
          <w:tcPr>
            <w:tcW w:type="dxa" w:w="5256"/>
          </w:tcPr>
          <w:p>
            <w:r>
              <w:rPr>
                <w:b/>
                <w:sz w:val="16"/>
              </w:rPr>
              <w:t>Solution Presentation</w:t>
            </w:r>
          </w:p>
        </w:tc>
        <w:tc>
          <w:tcPr>
            <w:tcW w:type="dxa" w:w="5256"/>
          </w:tcPr>
          <w:p>
            <w:r>
              <w:rPr>
                <w:sz w:val="16"/>
              </w:rPr>
              <w:t>Use Challenger to deliver insight → Connect to SPIN-discovered pain</w:t>
            </w:r>
          </w:p>
        </w:tc>
      </w:tr>
      <w:tr>
        <w:tc>
          <w:tcPr>
            <w:tcW w:type="dxa" w:w="5256"/>
          </w:tcPr>
          <w:p>
            <w:r>
              <w:rPr>
                <w:b/>
                <w:sz w:val="16"/>
              </w:rPr>
              <w:t>Deal Strategy</w:t>
            </w:r>
          </w:p>
        </w:tc>
        <w:tc>
          <w:tcPr>
            <w:tcW w:type="dxa" w:w="5256"/>
          </w:tcPr>
          <w:p>
            <w:r>
              <w:rPr>
                <w:sz w:val="16"/>
              </w:rPr>
              <w:t>Leverage Champion and Economic Buyer from MEDDICC → Apply Challenger differentiation</w:t>
            </w:r>
          </w:p>
        </w:tc>
      </w:tr>
    </w:tbl>
    <w:p/>
    <w:p>
      <w:pPr>
        <w:jc w:val="center"/>
      </w:pPr>
      <w:r>
        <w:rPr>
          <w:i/>
          <w:sz w:val="18"/>
        </w:rPr>
        <w:t>Remember: These methodologies complement each other. SPIN guides questioning. MEDDICC enforces qualification. Challenger shapes insight delivery. Together, they create a complete, predictable sales system.</w:t>
      </w:r>
    </w:p>
    <w:sectPr w:rsidR="00FC693F" w:rsidRPr="0006063C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